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firstLine="709"/>
        <w:jc w:val="center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ind w:firstLine="709"/>
        <w:jc w:val="center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TERMO DE JUSTIFICATIVAS TÉCNICAS RELEVANTES COMPLEMENTAR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09"/>
        <w:jc w:val="center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ind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presente licitação trata da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“Contratação de Empresas especializadas para a reforma e adequação da cobertura da torre norte do IFRS do Campus Porto Alegre”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que visa possibilitar a ampliação dos espaços para atividades dos alunos, com a maior oferta de vagas e novos cursos.</w:t>
      </w:r>
    </w:p>
    <w:p w:rsidR="00000000" w:rsidDel="00000000" w:rsidP="00000000" w:rsidRDefault="00000000" w:rsidRPr="00000000" w14:paraId="00000005">
      <w:pPr>
        <w:spacing w:line="360" w:lineRule="auto"/>
        <w:ind w:firstLine="709"/>
        <w:jc w:val="both"/>
        <w:rPr>
          <w:rFonts w:ascii="Arial" w:cs="Arial" w:eastAsia="Arial" w:hAnsi="Arial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vertAlign w:val="baseline"/>
          <w:rtl w:val="0"/>
        </w:rPr>
        <w:t xml:space="preserve">O objeto da contratação será composto por 01 item, de preço total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R$ </w:t>
      </w: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highlight w:val="yellow"/>
          <w:rtl w:val="0"/>
        </w:rPr>
        <w:t xml:space="preserve">R$ 600.00,00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yellow"/>
          <w:rtl w:val="0"/>
        </w:rPr>
        <w:t xml:space="preserve"> (seiscentos mil reais)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Para</w:t>
      </w: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vertAlign w:val="baseline"/>
          <w:rtl w:val="0"/>
        </w:rPr>
        <w:t xml:space="preserve"> fins de classificação do vencedor do certame será considerado aquele que ofertar o maior desconto.</w:t>
      </w:r>
    </w:p>
    <w:p w:rsidR="00000000" w:rsidDel="00000000" w:rsidP="00000000" w:rsidRDefault="00000000" w:rsidRPr="00000000" w14:paraId="00000006">
      <w:pPr>
        <w:spacing w:line="360" w:lineRule="auto"/>
        <w:ind w:firstLine="709"/>
        <w:jc w:val="both"/>
        <w:rPr>
          <w:rFonts w:ascii="Arial" w:cs="Arial" w:eastAsia="Arial" w:hAnsi="Arial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vertAlign w:val="baseline"/>
          <w:rtl w:val="0"/>
        </w:rPr>
        <w:t xml:space="preserve">Um dos pontos que cabe ser esclarecido é a previsão de subcontratação ou não.</w:t>
      </w:r>
    </w:p>
    <w:p w:rsidR="00000000" w:rsidDel="00000000" w:rsidP="00000000" w:rsidRDefault="00000000" w:rsidRPr="00000000" w14:paraId="00000007">
      <w:pPr>
        <w:spacing w:line="360" w:lineRule="auto"/>
        <w:ind w:firstLine="709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vertAlign w:val="baseline"/>
          <w:rtl w:val="0"/>
        </w:rPr>
        <w:t xml:space="preserve">Preliminarmente definiu-se que é vedada a </w:t>
      </w:r>
      <w:r w:rsidDel="00000000" w:rsidR="00000000" w:rsidRPr="00000000">
        <w:rPr>
          <w:rFonts w:ascii="Arial" w:cs="Arial" w:eastAsia="Arial" w:hAnsi="Arial"/>
          <w:b w:val="1"/>
          <w:color w:val="00000a"/>
          <w:sz w:val="22"/>
          <w:szCs w:val="22"/>
          <w:vertAlign w:val="baseline"/>
          <w:rtl w:val="0"/>
        </w:rPr>
        <w:t xml:space="preserve">SUBCONTRATAÇÃO TOTAL DO OBJETO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bem como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DA PARCELA DE MAIOR </w:t>
      </w:r>
      <w:r w:rsidDel="00000000" w:rsidR="00000000" w:rsidRPr="00000000">
        <w:rPr>
          <w:rFonts w:ascii="Arial" w:cs="Arial" w:eastAsia="Arial" w:hAnsi="Arial"/>
          <w:b w:val="1"/>
          <w:color w:val="00000a"/>
          <w:sz w:val="22"/>
          <w:szCs w:val="22"/>
          <w:vertAlign w:val="baseline"/>
          <w:rtl w:val="0"/>
        </w:rPr>
        <w:t xml:space="preserve">RELEVÂNCIA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DO PROJETO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O contratado, na execução do contrato, sem prejuízo das responsabilidades contratuais e legais, poderá subcontratar partes da obra, não ultrapassando o limite máximo de 20% do projeto já especificado no projeto básico, somente com a prévia aprovação da contratante.</w:t>
      </w:r>
    </w:p>
    <w:p w:rsidR="00000000" w:rsidDel="00000000" w:rsidP="00000000" w:rsidRDefault="00000000" w:rsidRPr="00000000" w14:paraId="00000008">
      <w:pPr>
        <w:spacing w:line="360" w:lineRule="auto"/>
        <w:ind w:firstLine="709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 subcontratação de contratos firmados entre a Administração Pública e a empresa se trata de uma forma de possibilitar que se ofereça e execute serviços mais especializados, que constituam pequena parte do objeto do contrato e está prevista no art. 72 da Lei de Licitações.</w:t>
      </w:r>
    </w:p>
    <w:p w:rsidR="00000000" w:rsidDel="00000000" w:rsidP="00000000" w:rsidRDefault="00000000" w:rsidRPr="00000000" w14:paraId="00000009">
      <w:pPr>
        <w:spacing w:line="360" w:lineRule="auto"/>
        <w:ind w:firstLine="709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 ideia é oportunizar ao vencedor do certame que desempenhe algum serviço específico, que necessite de capacidade técnica especializada, mediante a subcontratação de um terceiro, por sua responsabilidade, razão pela qual definimos no edital que somente a parte elétrica poderia ser realizada por outra empresa. Somos conhecedores das práticas de mercado e identificamos que as empresas de obras têm recorrido a empresas especializadas para a execução deste tipo de projeto o que garante ganho em qualidade e em redução de custos para a contratada e por consequência para o setor público. Veja que a empresa não precisa ter em seu quadro um conjunto de profissionais podendo utilizar de mão de obra vinculada a outra empresa.</w:t>
      </w:r>
    </w:p>
    <w:p w:rsidR="00000000" w:rsidDel="00000000" w:rsidP="00000000" w:rsidRDefault="00000000" w:rsidRPr="00000000" w14:paraId="0000000A">
      <w:pPr>
        <w:spacing w:line="360" w:lineRule="auto"/>
        <w:ind w:firstLine="709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Sobre a subcontratação como regra geral é necessário que haja previsão clara no instrumento convocatório – edital – acerca da possibilidade de subcontratação como especificamos no Projeto Básico e edital, bem como deve restar estabelecido no certame a motivação e o interesse público, a prévia autorização da Administração, as especificações dos serviços a serem subcontratados e prazos, bem como o percentual máximo que poderá ser subcontratado, elementos que estão especificados no projeto básico e no projeto executivo.</w:t>
      </w:r>
    </w:p>
    <w:p w:rsidR="00000000" w:rsidDel="00000000" w:rsidP="00000000" w:rsidRDefault="00000000" w:rsidRPr="00000000" w14:paraId="0000000B">
      <w:pPr>
        <w:spacing w:line="360" w:lineRule="auto"/>
        <w:ind w:firstLine="709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color w:val="333333"/>
          <w:vertAlign w:val="baseline"/>
          <w:rtl w:val="0"/>
        </w:rPr>
        <w:t xml:space="preserve">Cabe à Administração o juízo de conveniência, oportunidade, análise da possibilidade técnica e da viabilidade em se admitir a subcontratação, observado, em qualquer caso, o dever de motivação das decisões administrativas, ainda que discricionárias, considerando que, no Acórdão TCU nº 1.453/2009, Plenário, a Corte de Contas manifestou-se no sentido de que “... 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333333"/>
          <w:vertAlign w:val="baseline"/>
          <w:rtl w:val="0"/>
        </w:rPr>
        <w:t xml:space="preserve">o princípio da motivação exige que 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Administração Pública indique os fundamentos de fato e de direito de suas decisões, inclusive das discricionárias.”</w:t>
      </w:r>
    </w:p>
    <w:p w:rsidR="00000000" w:rsidDel="00000000" w:rsidP="00000000" w:rsidRDefault="00000000" w:rsidRPr="00000000" w14:paraId="0000000C">
      <w:pPr>
        <w:spacing w:line="360" w:lineRule="auto"/>
        <w:ind w:firstLine="709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Optamos pela abertura da possibilidade da subcontratação da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yellow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yellow"/>
          <w:rtl w:val="0"/>
        </w:rPr>
        <w:t xml:space="preserve">instalação de clarabóias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em razão de sua importância na obra, para ter um nível maior de expertise em sua fabricação e execução, como especificado em caso de terceirização no projeto básico.</w:t>
      </w:r>
    </w:p>
    <w:p w:rsidR="00000000" w:rsidDel="00000000" w:rsidP="00000000" w:rsidRDefault="00000000" w:rsidRPr="00000000" w14:paraId="0000000D">
      <w:pPr>
        <w:spacing w:line="360" w:lineRule="auto"/>
        <w:ind w:firstLine="709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Em nosso entendimento ao contratar uma empresa especializada se terá uma garantia ainda maior que todas suas instalações estarão de acordo com as NBRs. A empresa especializada seguirá de forma mais correta o projeto realizado, optando pelos materiais de melhor qualidade e com as melhores tecnologias existentes, mais atuais, assim teremos um melhor controle e garantia de que o que foi feito é o que está projetado, portan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o podemos ter o conhecimento de tudo que está no “esqueleto” da nossa obra, conhecimento o qual é muito importante caso necessite de alguma manutenção futura. </w:t>
      </w:r>
    </w:p>
    <w:p w:rsidR="00000000" w:rsidDel="00000000" w:rsidP="00000000" w:rsidRDefault="00000000" w:rsidRPr="00000000" w14:paraId="0000000E">
      <w:pPr>
        <w:spacing w:line="360" w:lineRule="auto"/>
        <w:ind w:firstLine="709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Neste sentido, entendemos que a subcontratação em questão é viável e se torna uma boa opção para a administração.</w:t>
      </w:r>
    </w:p>
    <w:p w:rsidR="00000000" w:rsidDel="00000000" w:rsidP="00000000" w:rsidRDefault="00000000" w:rsidRPr="00000000" w14:paraId="0000000F">
      <w:pPr>
        <w:spacing w:line="360" w:lineRule="auto"/>
        <w:ind w:firstLine="709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firstLine="709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right="-15" w:firstLine="709"/>
        <w:jc w:val="both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ind w:left="360" w:firstLine="709"/>
        <w:jc w:val="right"/>
        <w:rPr>
          <w:rFonts w:ascii="Arial" w:cs="Arial" w:eastAsia="Arial" w:hAnsi="Arial"/>
          <w:color w:val="ff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ind w:left="360" w:firstLine="709"/>
        <w:jc w:val="center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Porto Alegre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31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 ju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ho de 20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ind w:left="360" w:firstLine="709"/>
        <w:jc w:val="center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Renato Pereira Monteiro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Diretora de Planejamento e Obras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Queila Tomielo de Camargo – Engenheira Civil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Coordenadora de Planejamento</w:t>
      </w:r>
    </w:p>
    <w:p w:rsidR="00000000" w:rsidDel="00000000" w:rsidP="00000000" w:rsidRDefault="00000000" w:rsidRPr="00000000" w14:paraId="0000001C">
      <w:pPr>
        <w:spacing w:line="360" w:lineRule="auto"/>
        <w:ind w:firstLine="709"/>
        <w:jc w:val="both"/>
        <w:rPr>
          <w:rFonts w:ascii="Arial" w:cs="Arial" w:eastAsia="Arial" w:hAnsi="Arial"/>
          <w:b w:val="0"/>
          <w:sz w:val="22"/>
          <w:szCs w:val="22"/>
          <w:highlight w:val="magenta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firstLine="709"/>
        <w:jc w:val="center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/>
      <w:pgMar w:bottom="1417" w:top="1417" w:left="1701" w:right="1701" w:header="720" w:footer="102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Ecofont_Spranq_eco_Sans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708.0" w:type="dxa"/>
      <w:jc w:val="center"/>
      <w:tblLayout w:type="fixed"/>
      <w:tblLook w:val="0000"/>
    </w:tblPr>
    <w:tblGrid>
      <w:gridCol w:w="2762"/>
      <w:gridCol w:w="4111"/>
      <w:gridCol w:w="2835"/>
      <w:tblGridChange w:id="0">
        <w:tblGrid>
          <w:gridCol w:w="2762"/>
          <w:gridCol w:w="4111"/>
          <w:gridCol w:w="2835"/>
        </w:tblGrid>
      </w:tblGridChange>
    </w:tblGrid>
    <w:tr>
      <w:tc>
        <w:tcPr>
          <w:vAlign w:val="top"/>
        </w:tcPr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top"/>
        </w:tcPr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Ecofont_Spranq_eco_Sans" w:cs="Ecofont_Spranq_eco_Sans" w:eastAsia="Ecofont_Spranq_eco_Sans" w:hAnsi="Ecofont_Spranq_eco_San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743585" cy="742950"/>
                <wp:effectExtent b="0" l="0" r="0" t="0"/>
                <wp:docPr id="10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3585" cy="7429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top"/>
        </w:tcPr>
        <w:p w:rsidR="00000000" w:rsidDel="00000000" w:rsidP="00000000" w:rsidRDefault="00000000" w:rsidRPr="00000000" w14:paraId="00000021">
          <w:pPr>
            <w:rPr>
              <w:color w:val="000000"/>
              <w:sz w:val="16"/>
              <w:szCs w:val="16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2607.0000000000005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1303"/>
            <w:gridCol w:w="1304"/>
            <w:tblGridChange w:id="0">
              <w:tblGrid>
                <w:gridCol w:w="1303"/>
                <w:gridCol w:w="1304"/>
              </w:tblGrid>
            </w:tblGridChange>
          </w:tblGrid>
          <w:tr>
            <w:tc>
              <w:tcPr>
                <w:gridSpan w:val="2"/>
                <w:tcMar>
                  <w:left w:w="103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IFRS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c>
              <w:tcPr>
                <w:tcMar>
                  <w:left w:w="103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Fls. nº</w:t>
                </w:r>
              </w:p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Mar>
                  <w:left w:w="103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Rubrica</w:t>
                </w:r>
              </w:p>
            </w:tc>
          </w:tr>
        </w:tbl>
        <w:p w:rsidR="00000000" w:rsidDel="00000000" w:rsidP="00000000" w:rsidRDefault="00000000" w:rsidRPr="00000000" w14:paraId="0000002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c>
        <w:tcPr>
          <w:gridSpan w:val="3"/>
          <w:vAlign w:val="top"/>
        </w:tcPr>
        <w:p w:rsidR="00000000" w:rsidDel="00000000" w:rsidP="00000000" w:rsidRDefault="00000000" w:rsidRPr="00000000" w14:paraId="00000028">
          <w:pPr>
            <w:jc w:val="center"/>
            <w:rPr>
              <w:rFonts w:ascii="Arial" w:cs="Arial" w:eastAsia="Arial" w:hAnsi="Arial"/>
              <w:color w:val="000000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20"/>
              <w:szCs w:val="20"/>
              <w:vertAlign w:val="baseline"/>
              <w:rtl w:val="0"/>
            </w:rPr>
            <w:t xml:space="preserve">Ministério da Educação</w:t>
          </w:r>
        </w:p>
        <w:p w:rsidR="00000000" w:rsidDel="00000000" w:rsidP="00000000" w:rsidRDefault="00000000" w:rsidRPr="00000000" w14:paraId="00000029">
          <w:pPr>
            <w:jc w:val="center"/>
            <w:rPr>
              <w:rFonts w:ascii="Arial" w:cs="Arial" w:eastAsia="Arial" w:hAnsi="Arial"/>
              <w:color w:val="000000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20"/>
              <w:szCs w:val="20"/>
              <w:vertAlign w:val="baseline"/>
              <w:rtl w:val="0"/>
            </w:rPr>
            <w:t xml:space="preserve">Secretaria de Educação Profissional e Tecnológica</w:t>
          </w:r>
        </w:p>
        <w:p w:rsidR="00000000" w:rsidDel="00000000" w:rsidP="00000000" w:rsidRDefault="00000000" w:rsidRPr="00000000" w14:paraId="0000002A">
          <w:pPr>
            <w:jc w:val="center"/>
            <w:rPr>
              <w:rFonts w:ascii="Arial" w:cs="Arial" w:eastAsia="Arial" w:hAnsi="Arial"/>
              <w:color w:val="000000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20"/>
              <w:szCs w:val="20"/>
              <w:vertAlign w:val="baseline"/>
              <w:rtl w:val="0"/>
            </w:rPr>
            <w:t xml:space="preserve">Instituto Federal de Educação, Ciência e Tecnologia do Rio Grande do Sul</w:t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Diretoria de Planejamento e Obras</w:t>
          </w:r>
        </w:p>
      </w:tc>
    </w:tr>
  </w:tbl>
  <w:p w:rsidR="00000000" w:rsidDel="00000000" w:rsidP="00000000" w:rsidRDefault="00000000" w:rsidRPr="00000000" w14:paraId="0000002E">
    <w:pPr>
      <w:ind w:right="-17"/>
      <w:jc w:val="center"/>
      <w:rPr>
        <w:rFonts w:ascii="Arial" w:cs="Arial" w:eastAsia="Arial" w:hAnsi="Arial"/>
        <w:color w:val="000000"/>
        <w:sz w:val="16"/>
        <w:szCs w:val="16"/>
        <w:vertAlign w:val="baseline"/>
      </w:rPr>
    </w:pPr>
    <w:r w:rsidDel="00000000" w:rsidR="00000000" w:rsidRPr="00000000">
      <w:rPr>
        <w:rFonts w:ascii="Arial" w:cs="Arial" w:eastAsia="Arial" w:hAnsi="Arial"/>
        <w:color w:val="000000"/>
        <w:sz w:val="16"/>
        <w:szCs w:val="16"/>
        <w:vertAlign w:val="baseline"/>
        <w:rtl w:val="0"/>
      </w:rPr>
      <w:t xml:space="preserve">Rua Gen. Osório, 348 – Centro – Bento Gonçalves/RS – CEP:95.700086</w:t>
    </w:r>
  </w:p>
  <w:p w:rsidR="00000000" w:rsidDel="00000000" w:rsidP="00000000" w:rsidRDefault="00000000" w:rsidRPr="00000000" w14:paraId="0000002F">
    <w:pPr>
      <w:ind w:right="-17"/>
      <w:jc w:val="center"/>
      <w:rPr>
        <w:rFonts w:ascii="Arial" w:cs="Arial" w:eastAsia="Arial" w:hAnsi="Arial"/>
        <w:color w:val="000000"/>
        <w:sz w:val="16"/>
        <w:szCs w:val="16"/>
        <w:vertAlign w:val="baseline"/>
      </w:rPr>
    </w:pPr>
    <w:r w:rsidDel="00000000" w:rsidR="00000000" w:rsidRPr="00000000">
      <w:rPr>
        <w:rFonts w:ascii="Arial" w:cs="Arial" w:eastAsia="Arial" w:hAnsi="Arial"/>
        <w:color w:val="000000"/>
        <w:sz w:val="16"/>
        <w:szCs w:val="16"/>
        <w:vertAlign w:val="baseline"/>
        <w:rtl w:val="0"/>
      </w:rPr>
      <w:t xml:space="preserve">Telefone: (54) 3449-3332 – www.ifrs.edu.br – E-mail: </w:t>
    </w:r>
    <w:hyperlink r:id="rId2">
      <w:r w:rsidDel="00000000" w:rsidR="00000000" w:rsidRPr="00000000">
        <w:rPr>
          <w:rFonts w:ascii="Arial" w:cs="Arial" w:eastAsia="Arial" w:hAnsi="Arial"/>
          <w:color w:val="000080"/>
          <w:sz w:val="16"/>
          <w:szCs w:val="16"/>
          <w:u w:val="single"/>
          <w:vertAlign w:val="baseline"/>
          <w:rtl w:val="0"/>
        </w:rPr>
        <w:t xml:space="preserve">dpo@ifrs.edu.br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ind w:right="-17"/>
      <w:jc w:val="center"/>
      <w:rPr>
        <w:rFonts w:ascii="Arial" w:cs="Arial" w:eastAsia="Arial" w:hAnsi="Arial"/>
        <w:color w:val="000000"/>
        <w:sz w:val="16"/>
        <w:szCs w:val="16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Ecofont_Spranq_eco_Sans" w:cs="Ecofont_Spranq_eco_Sans" w:eastAsia="Ecofont_Spranq_eco_Sans" w:hAnsi="Ecofont_Spranq_eco_Sans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0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zh-CN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numPr>
        <w:ilvl w:val="1"/>
        <w:numId w:val="1"/>
      </w:numPr>
      <w:tabs>
        <w:tab w:val="left" w:leader="none" w:pos="1701"/>
      </w:tabs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top"/>
      <w:outlineLvl w:val="1"/>
    </w:pPr>
    <w:rPr>
      <w:rFonts w:ascii="Times New Roman" w:cs="Times New Roman" w:hAnsi="Times New Roman"/>
      <w:b w:val="1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b w:val="0"/>
      <w:i w:val="1"/>
      <w:color w:val="ff0000"/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2">
    <w:name w:val="Fonte parág. padrão2"/>
    <w:next w:val="Fonteparág.padrão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b w:val="1"/>
      <w:i w:val="0"/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color w:val="0000ff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Ecofont_Spranq_eco_Sans" w:cs="Arial" w:hAnsi="Ecofont_Spranq_eco_Sans"/>
      <w:i w:val="1"/>
      <w:color w:val="ff0000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b w:val="1"/>
      <w:i w:val="0"/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1">
    <w:name w:val="Fonte parág. padrão1"/>
    <w:next w:val="Fonteparág.padrã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ítulo2Char">
    <w:name w:val="Título 2 Char"/>
    <w:next w:val="Título2Char"/>
    <w:autoRedefine w:val="0"/>
    <w:hidden w:val="0"/>
    <w:qFormat w:val="0"/>
    <w:rPr>
      <w:b w:val="1"/>
      <w:color w:val="000000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normal__char1">
    <w:name w:val="normal__char1"/>
    <w:next w:val="normal__char1"/>
    <w:autoRedefine w:val="0"/>
    <w:hidden w:val="0"/>
    <w:qFormat w:val="0"/>
    <w:rPr>
      <w:rFonts w:ascii="Arial" w:cs="Arial" w:hAnsi="Arial"/>
      <w:strike w:val="0"/>
      <w:dstrike w:val="0"/>
      <w:w w:val="100"/>
      <w:position w:val="-1"/>
      <w:sz w:val="24"/>
      <w:szCs w:val="24"/>
      <w:u w:val="none"/>
      <w:effect w:val="none"/>
      <w:vertAlign w:val="baseline"/>
      <w:cs w:val="0"/>
      <w:em w:val="none"/>
      <w:lang/>
    </w:rPr>
  </w:style>
  <w:style w:type="character" w:styleId="apple-style-span">
    <w:name w:val="apple-style-span"/>
    <w:basedOn w:val="Fonteparág.padrão1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Forte">
    <w:name w:val="Forte"/>
    <w:next w:val="Fort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Ênfase">
    <w:name w:val="Ênfase"/>
    <w:next w:val="Ênfase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citação2Char">
    <w:name w:val="citação 2 Char"/>
    <w:next w:val="citação2Char"/>
    <w:autoRedefine w:val="0"/>
    <w:hidden w:val="0"/>
    <w:qFormat w:val="0"/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effect w:val="none"/>
      <w:vertAlign w:val="baseline"/>
      <w:cs w:val="0"/>
      <w:em w:val="none"/>
      <w:lang w:bidi="ar-SA" w:val="pt-BR"/>
    </w:rPr>
  </w:style>
  <w:style w:type="character" w:styleId="CorpodetextoChar">
    <w:name w:val="Corpo de texto Char"/>
    <w:next w:val="CorpodetextoChar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 w:bidi="ar-SA" w:val="pt-BR"/>
    </w:rPr>
  </w:style>
  <w:style w:type="character" w:styleId="FootnoteCharacters">
    <w:name w:val="Footnote Characters"/>
    <w:next w:val="FootnoteCharacters"/>
    <w:autoRedefine w:val="0"/>
    <w:hidden w:val="0"/>
    <w:qFormat w:val="0"/>
    <w:rPr>
      <w:color w:val="ff0000"/>
      <w:w w:val="100"/>
      <w:position w:val="-1"/>
      <w:effect w:val="none"/>
      <w:vertAlign w:val="superscript"/>
      <w:cs w:val="0"/>
      <w:em w:val="none"/>
      <w:lang/>
    </w:rPr>
  </w:style>
  <w:style w:type="character" w:styleId="apple-converted-space">
    <w:name w:val="apple-converted-space"/>
    <w:basedOn w:val="Fonteparág.padrão1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ombreamentoMédio1-Ênfase3Char">
    <w:name w:val="Sombreamento Médio 1 - Ênfase 3 Char"/>
    <w:next w:val="SombreamentoMédio1-Ênfase3Char"/>
    <w:autoRedefine w:val="0"/>
    <w:hidden w:val="0"/>
    <w:qFormat w:val="0"/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Cs w:val="24"/>
      <w:effect w:val="none"/>
      <w:vertAlign w:val="baseline"/>
      <w:cs w:val="0"/>
      <w:em w:val="none"/>
      <w:lang w:bidi="ar-SA" w:val="pt-BR"/>
    </w:rPr>
  </w:style>
  <w:style w:type="character" w:styleId="TextodecomentárioChar">
    <w:name w:val="Texto de comentário Char"/>
    <w:next w:val="TextodecomentárioChar"/>
    <w:autoRedefine w:val="0"/>
    <w:hidden w:val="0"/>
    <w:qFormat w:val="0"/>
    <w:rPr>
      <w:rFonts w:ascii="Ecofont_Spranq_eco_Sans" w:cs="Tahoma" w:hAnsi="Ecofont_Spranq_eco_Sans"/>
      <w:w w:val="100"/>
      <w:position w:val="-1"/>
      <w:effect w:val="none"/>
      <w:vertAlign w:val="baseline"/>
      <w:cs w:val="0"/>
      <w:em w:val="none"/>
      <w:lang/>
    </w:rPr>
  </w:style>
  <w:style w:type="character" w:styleId="GradeMédia2-Ênfase2Char">
    <w:name w:val="Grade Média 2 - Ênfase 2 Char"/>
    <w:next w:val="GradeMédia2-Ênfase2Char"/>
    <w:autoRedefine w:val="0"/>
    <w:hidden w:val="0"/>
    <w:qFormat w:val="0"/>
    <w:rPr>
      <w:rFonts w:ascii="Ecofont_Spranq_eco_Sans" w:cs="Ecofont_Spranq_eco_Sans" w:eastAsia="Calibri" w:hAnsi="Ecofont_Spranq_eco_Sans"/>
      <w:i w:val="1"/>
      <w:iCs w:val="1"/>
      <w:color w:val="000000"/>
      <w:w w:val="100"/>
      <w:position w:val="-1"/>
      <w:szCs w:val="24"/>
      <w:effect w:val="none"/>
      <w:shd w:color="auto" w:fill="ffffcc" w:val="clear"/>
      <w:vertAlign w:val="baseline"/>
      <w:cs w:val="0"/>
      <w:em w:val="none"/>
      <w:lang w:val="und"/>
    </w:rPr>
  </w:style>
  <w:style w:type="character" w:styleId="Ref.decomentário1">
    <w:name w:val="Ref. de comentário1"/>
    <w:next w:val="Ref.decomentário1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AssuntodocomentárioChar">
    <w:name w:val="Assunto do comentário Char"/>
    <w:next w:val="AssuntodocomentárioChar"/>
    <w:autoRedefine w:val="0"/>
    <w:hidden w:val="0"/>
    <w:qFormat w:val="0"/>
    <w:rPr>
      <w:rFonts w:ascii="Ecofont_Spranq_eco_Sans" w:cs="Tahoma" w:hAnsi="Ecofont_Spranq_eco_Sans"/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Bullets">
    <w:name w:val="Bullets"/>
    <w:next w:val="Bullet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Ref.decomentário2">
    <w:name w:val="Ref. de comentário2"/>
    <w:next w:val="Ref.decomentário2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extodecomentárioChar1">
    <w:name w:val="Texto de comentário Char1"/>
    <w:next w:val="TextodecomentárioChar1"/>
    <w:autoRedefine w:val="0"/>
    <w:hidden w:val="0"/>
    <w:qFormat w:val="0"/>
    <w:rPr>
      <w:rFonts w:ascii="Ecofont_Spranq_eco_Sans" w:cs="Tahoma" w:hAnsi="Ecofont_Spranq_eco_Sans"/>
      <w:w w:val="100"/>
      <w:position w:val="-1"/>
      <w:effect w:val="none"/>
      <w:vertAlign w:val="baseline"/>
      <w:cs w:val="0"/>
      <w:em w:val="none"/>
      <w:lang w:eastAsia="zh-CN"/>
    </w:rPr>
  </w:style>
  <w:style w:type="character" w:styleId="CabeçalhoChar">
    <w:name w:val="Cabeçalho Char"/>
    <w:next w:val="CabeçalhoChar"/>
    <w:autoRedefine w:val="0"/>
    <w:hidden w:val="0"/>
    <w:qFormat w:val="0"/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styleId="RodapéChar">
    <w:name w:val="Rodapé Char"/>
    <w:next w:val="RodapéChar"/>
    <w:autoRedefine w:val="0"/>
    <w:hidden w:val="0"/>
    <w:qFormat w:val="0"/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Heading">
    <w:name w:val="Heading"/>
    <w:basedOn w:val="Normal"/>
    <w:next w:val="Corpodetexto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ohit Hindi" w:eastAsia="WenQuanYi Micro 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Lista">
    <w:name w:val="Lista"/>
    <w:basedOn w:val="Corpodetexto"/>
    <w:next w:val="Lista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Lohit Hindi" w:hAnsi="Times New Roman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Legenda">
    <w:name w:val="Legenda"/>
    <w:basedOn w:val="Normal"/>
    <w:next w:val="Legend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Lohit Hindi" w:hAnsi="Ecofont_Spranq_eco_Sans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Index">
    <w:name w:val="Index"/>
    <w:basedOn w:val="Normal"/>
    <w:next w:val="Index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Lohit Hindi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Legenda1">
    <w:name w:val="Legenda1"/>
    <w:basedOn w:val="Normal"/>
    <w:next w:val="Legenda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Lohit Hindi" w:hAnsi="Ecofont_Spranq_eco_Sans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GradeClara-Ênfase31">
    <w:name w:val="Grade Clara - Ênfase 31"/>
    <w:basedOn w:val="Normal"/>
    <w:next w:val="GradeClara-Ênfase31"/>
    <w:autoRedefine w:val="0"/>
    <w:hidden w:val="0"/>
    <w:qFormat w:val="0"/>
    <w:p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balão1">
    <w:name w:val="Texto de balão1"/>
    <w:basedOn w:val="Normal"/>
    <w:next w:val="Textodebalão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t-BR"/>
    </w:rPr>
  </w:style>
  <w:style w:type="paragraph" w:styleId="Nível2">
    <w:name w:val="Nível 2"/>
    <w:basedOn w:val="Normal"/>
    <w:next w:val="Normal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Times New Roman" w:hAnsi="Arial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itação2">
    <w:name w:val="citação 2"/>
    <w:basedOn w:val="Normal"/>
    <w:next w:val="citação2"/>
    <w:autoRedefine w:val="0"/>
    <w:hidden w:val="0"/>
    <w:qFormat w:val="0"/>
    <w:pPr>
      <w:pBdr>
        <w:top w:color="000080" w:space="1" w:sz="4" w:val="single"/>
        <w:left w:color="000080" w:space="4" w:sz="4" w:val="single"/>
        <w:bottom w:color="000080" w:space="1" w:sz="4" w:val="single"/>
        <w:right w:color="000080" w:space="4" w:sz="4" w:val="single"/>
      </w:pBdr>
      <w:shd w:color="auto" w:fill="ffffcc" w:val="clear"/>
      <w:suppressAutoHyphens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ad">
    <w:name w:val="ad"/>
    <w:basedOn w:val="Normal"/>
    <w:next w:val="ad"/>
    <w:autoRedefine w:val="0"/>
    <w:hidden w:val="0"/>
    <w:qFormat w:val="0"/>
    <w:pPr>
      <w:suppressAutoHyphens w:val="0"/>
      <w:spacing w:line="360" w:lineRule="auto"/>
      <w:ind w:left="993" w:right="0" w:leftChars="-1" w:rightChars="0" w:hanging="284" w:firstLineChars="-1"/>
      <w:jc w:val="both"/>
      <w:textDirection w:val="btLr"/>
      <w:textAlignment w:val="top"/>
      <w:outlineLvl w:val="0"/>
    </w:pPr>
    <w:rPr>
      <w:rFonts w:ascii="Times New Roman" w:cs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a6">
    <w:name w:val="a6"/>
    <w:next w:val="a6"/>
    <w:autoRedefine w:val="0"/>
    <w:hidden w:val="0"/>
    <w:qFormat w:val="0"/>
    <w:pPr>
      <w:suppressAutoHyphens w:val="0"/>
      <w:spacing w:after="120" w:line="1" w:lineRule="atLeast"/>
      <w:ind w:left="1134" w:leftChars="-1" w:rightChars="0" w:firstLineChars="-1"/>
      <w:jc w:val="both"/>
      <w:textDirection w:val="btLr"/>
      <w:textAlignment w:val="top"/>
      <w:outlineLvl w:val="0"/>
    </w:pPr>
    <w:rPr>
      <w:bCs w:val="1"/>
      <w:iCs w:val="1"/>
      <w:w w:val="100"/>
      <w:position w:val="-1"/>
      <w:effect w:val="none"/>
      <w:vertAlign w:val="baseline"/>
      <w:cs w:val="0"/>
      <w:em w:val="none"/>
      <w:lang w:bidi="ar-SA" w:eastAsia="zh-CN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2"/>
      <w:effect w:val="none"/>
      <w:vertAlign w:val="baseline"/>
      <w:cs w:val="0"/>
      <w:em w:val="none"/>
      <w:lang w:bidi="ar-SA" w:eastAsia="zh-CN" w:val="pt-BR"/>
    </w:rPr>
  </w:style>
  <w:style w:type="paragraph" w:styleId="Textodenotaderodapé">
    <w:name w:val="Texto de nota de rodapé"/>
    <w:basedOn w:val="Normal"/>
    <w:next w:val="Textodenotaderodapé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="283" w:right="0" w:leftChars="-1" w:rightChars="0" w:hanging="283" w:firstLineChars="-1"/>
      <w:textDirection w:val="btLr"/>
      <w:textAlignment w:val="top"/>
      <w:outlineLvl w:val="0"/>
    </w:pPr>
    <w:rPr>
      <w:rFonts w:ascii="Times New Roman" w:cs="Times New Roman" w:eastAsia="Arial Unicode MS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SombreamentoMédio1-Ênfase31">
    <w:name w:val="Sombreamento Médio 1 - Ênfase 31"/>
    <w:basedOn w:val="Normal"/>
    <w:next w:val="Normal"/>
    <w:autoRedefine w:val="0"/>
    <w:hidden w:val="0"/>
    <w:qFormat w:val="0"/>
    <w:pPr>
      <w:pBdr>
        <w:top w:color="000080" w:space="1" w:sz="4" w:val="single"/>
        <w:left w:color="000080" w:space="4" w:sz="4" w:val="single"/>
        <w:bottom w:color="000080" w:space="1" w:sz="4" w:val="single"/>
        <w:right w:color="000080" w:space="4" w:sz="4" w:val="single"/>
      </w:pBdr>
      <w:shd w:color="auto" w:fill="ffffcc" w:val="clear"/>
      <w:suppressAutoHyphens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comentário1">
    <w:name w:val="Texto de comentário1"/>
    <w:basedOn w:val="Normal"/>
    <w:next w:val="Textodecomentário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itação1">
    <w:name w:val="Citação1"/>
    <w:basedOn w:val="Normal"/>
    <w:next w:val="Normal"/>
    <w:autoRedefine w:val="0"/>
    <w:hidden w:val="0"/>
    <w:qFormat w:val="0"/>
    <w:pPr>
      <w:pBdr>
        <w:top w:color="000080" w:space="1" w:sz="4" w:val="single"/>
        <w:left w:color="000080" w:space="4" w:sz="4" w:val="single"/>
        <w:bottom w:color="000080" w:space="1" w:sz="4" w:val="single"/>
        <w:right w:color="000080" w:space="4" w:sz="4" w:val="single"/>
      </w:pBdr>
      <w:shd w:color="auto" w:fill="ffffcc" w:val="clear"/>
      <w:suppressAutoHyphens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imes New Roman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Assuntodocomentário1">
    <w:name w:val="Assunto do comentário1"/>
    <w:basedOn w:val="Textodecomentário1"/>
    <w:next w:val="Textodecomentário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ParágrafodaLista1">
    <w:name w:val="Parágrafo da Lista1"/>
    <w:basedOn w:val="Normal"/>
    <w:next w:val="ParágrafodaLista1"/>
    <w:autoRedefine w:val="0"/>
    <w:hidden w:val="0"/>
    <w:qFormat w:val="0"/>
    <w:p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comentário2">
    <w:name w:val="Texto de comentário2"/>
    <w:basedOn w:val="Normal"/>
    <w:next w:val="Textodecomentário2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pt-BR"/>
    </w:rPr>
  </w:style>
  <w:style w:type="character" w:styleId="TextodebalãoChar1">
    <w:name w:val="Texto de balão Char1"/>
    <w:next w:val="TextodebalãoChar1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zh-CN" w:val="pt-BR"/>
    </w:rPr>
  </w:style>
  <w:style w:type="paragraph" w:styleId="GradeMédia1-Ênfase2">
    <w:name w:val="Grade Média 1 - Ênfase 2"/>
    <w:basedOn w:val="Normal"/>
    <w:next w:val="GradeMédia1-Ênfase2"/>
    <w:autoRedefine w:val="0"/>
    <w:hidden w:val="0"/>
    <w:qFormat w:val="0"/>
    <w:pPr>
      <w:widowControl w:val="0"/>
      <w:suppressAutoHyphens w:val="0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cs="Times New Roman" w:eastAsia="Arial Unicode MS" w:hAnsi="Times New Roman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GradeMédia2-Ênfase2">
    <w:name w:val="Grade Média 2 - Ênfase 2"/>
    <w:basedOn w:val="Normal"/>
    <w:next w:val="Normal"/>
    <w:autoRedefine w:val="0"/>
    <w:hidden w:val="0"/>
    <w:qFormat w:val="0"/>
    <w:pPr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hd w:color="auto" w:fill="ffffcc" w:val="clear"/>
      <w:suppressAutoHyphens w:val="1"/>
      <w:spacing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Ecofont_Spranq_eco_Sans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CitaçãoChar1">
    <w:name w:val="Citação Char1"/>
    <w:next w:val="CitaçãoChar1"/>
    <w:autoRedefine w:val="0"/>
    <w:hidden w:val="0"/>
    <w:qFormat w:val="0"/>
    <w:rPr>
      <w:rFonts w:ascii="Ecofont_Spranq_eco_Sans" w:cs="Tahoma" w:hAnsi="Ecofont_Spranq_eco_Sans"/>
      <w:i w:val="1"/>
      <w:iCs w:val="1"/>
      <w:color w:val="404040"/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styleId="Ref.decomentário">
    <w:name w:val="Ref. de comentário"/>
    <w:next w:val="Ref.decomentári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xtodecomentário">
    <w:name w:val="Texto de comentário"/>
    <w:basedOn w:val="Normal"/>
    <w:next w:val="Textodecomentário"/>
    <w:autoRedefine w:val="0"/>
    <w:hidden w:val="0"/>
    <w:qFormat w:val="1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character" w:styleId="TextodecomentárioChar2">
    <w:name w:val="Texto de comentário Char2"/>
    <w:next w:val="TextodecomentárioChar2"/>
    <w:autoRedefine w:val="0"/>
    <w:hidden w:val="0"/>
    <w:qFormat w:val="0"/>
    <w:rPr>
      <w:rFonts w:ascii="Ecofont_Spranq_eco_Sans" w:cs="Tahoma" w:hAnsi="Ecofont_Spranq_eco_Sans"/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GradeColorida-Ênfase1">
    <w:name w:val="Grade Colorida - Ênfase 1"/>
    <w:basedOn w:val="Normal"/>
    <w:next w:val="Normal"/>
    <w:autoRedefine w:val="0"/>
    <w:hidden w:val="0"/>
    <w:qFormat w:val="0"/>
    <w:pPr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hd w:color="auto" w:fill="ffffcc" w:val="clear"/>
      <w:suppressAutoHyphens w:val="1"/>
      <w:spacing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pt-BR"/>
    </w:rPr>
  </w:style>
  <w:style w:type="character" w:styleId="GradeColorida-Ênfase1Char">
    <w:name w:val="Grade Colorida - Ênfase 1 Char"/>
    <w:next w:val="GradeColorida-Ênfase1Char"/>
    <w:autoRedefine w:val="0"/>
    <w:hidden w:val="0"/>
    <w:qFormat w:val="0"/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Cs w:val="24"/>
      <w:effect w:val="none"/>
      <w:shd w:color="auto" w:fill="ffffcc" w:val="clear"/>
      <w:vertAlign w:val="baseline"/>
      <w:cs w:val="0"/>
      <w:em w:val="none"/>
      <w:lang/>
    </w:rPr>
  </w:style>
  <w:style w:type="paragraph" w:styleId="Assuntodocomentário">
    <w:name w:val="Assunto do comentário"/>
    <w:basedOn w:val="Textodecomentário"/>
    <w:next w:val="Textodecomentário"/>
    <w:autoRedefine w:val="0"/>
    <w:hidden w:val="0"/>
    <w:qFormat w:val="1"/>
    <w:pPr>
      <w:widowControl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character" w:styleId="AssuntodocomentárioChar1">
    <w:name w:val="Assunto do comentário Char1"/>
    <w:next w:val="AssuntodocomentárioChar1"/>
    <w:autoRedefine w:val="0"/>
    <w:hidden w:val="0"/>
    <w:qFormat w:val="0"/>
    <w:rPr>
      <w:rFonts w:ascii="Ecofont_Spranq_eco_Sans" w:cs="Tahoma" w:hAnsi="Ecofont_Spranq_eco_Sans"/>
      <w:b w:val="1"/>
      <w:bCs w:val="1"/>
      <w:w w:val="100"/>
      <w:position w:val="-1"/>
      <w:effect w:val="none"/>
      <w:vertAlign w:val="baseline"/>
      <w:cs w:val="0"/>
      <w:em w:val="none"/>
      <w:lang w:eastAsia="zh-CN"/>
    </w:rPr>
  </w:style>
  <w:style w:type="character" w:styleId="Título1Char">
    <w:name w:val="Título 1 Char"/>
    <w:next w:val="Título1Char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zh-CN"/>
    </w:rPr>
  </w:style>
  <w:style w:type="paragraph" w:styleId="Citação">
    <w:name w:val="Citação"/>
    <w:basedOn w:val="Normal"/>
    <w:next w:val="Normal"/>
    <w:autoRedefine w:val="0"/>
    <w:hidden w:val="0"/>
    <w:qFormat w:val="0"/>
    <w:pPr>
      <w:suppressAutoHyphens w:val="0"/>
      <w:spacing w:after="160" w:before="200" w:line="1" w:lineRule="atLeast"/>
      <w:ind w:left="864" w:right="864" w:leftChars="-1" w:rightChars="0" w:firstLineChars="-1"/>
      <w:jc w:val="center"/>
      <w:textDirection w:val="btLr"/>
      <w:textAlignment w:val="top"/>
      <w:outlineLvl w:val="0"/>
    </w:pPr>
    <w:rPr>
      <w:rFonts w:ascii="Ecofont_Spranq_eco_Sans" w:cs="Tahoma" w:hAnsi="Ecofont_Spranq_eco_Sans"/>
      <w:i w:val="1"/>
      <w:iCs w:val="1"/>
      <w:color w:val="40404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character" w:styleId="CitaçãoChar">
    <w:name w:val="Citação Char"/>
    <w:next w:val="CitaçãoChar"/>
    <w:autoRedefine w:val="0"/>
    <w:hidden w:val="0"/>
    <w:qFormat w:val="0"/>
    <w:rPr>
      <w:rFonts w:ascii="Ecofont_Spranq_eco_Sans" w:cs="Tahoma" w:hAnsi="Ecofont_Spranq_eco_Sans"/>
      <w:i w:val="1"/>
      <w:iCs w:val="1"/>
      <w:color w:val="404040"/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table" w:styleId="Tabelacomgrade">
    <w:name w:val="Tabela com grade"/>
    <w:basedOn w:val="Tabelanormal"/>
    <w:next w:val="Tabelacomgrad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  <w:tblPr>
      <w:tblStyle w:val="Tabelacomgrade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arágrafodaListaChar">
    <w:name w:val="Parágrafo da Lista Char"/>
    <w:next w:val="ParágrafodaLista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character" w:styleId="s1">
    <w:name w:val="s1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dpo@ifrs.edu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IIY8twG1ipG4tK/g42YGAZ9qpw==">AMUW2mWbdh/9VFu6J/6zB4iYdSE6596Qy9UVxOOIspTYWyYT7QNGGDuW6kYAwitWa778m/PmqtrJWkTTZ2N2kBKOMgk83EF4Z7vkzlQ6elmJDa5aniyZVqI=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2019-10-01T18:37:00Z</dcterms:created>
  <dc:creator>EDUARDO DOTTI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